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8BC" w:rsidRDefault="009028BC" w:rsidP="009028BC">
      <w:pPr>
        <w:jc w:val="center"/>
        <w:rPr>
          <w:b/>
        </w:rPr>
      </w:pPr>
      <w:r>
        <w:rPr>
          <w:b/>
        </w:rPr>
        <w:t>A rat experimental model to investigate</w:t>
      </w:r>
      <w:r w:rsidRPr="00C83C20">
        <w:rPr>
          <w:b/>
        </w:rPr>
        <w:t xml:space="preserve"> the reactivity of burst-su</w:t>
      </w:r>
      <w:r>
        <w:rPr>
          <w:b/>
        </w:rPr>
        <w:t>ppression EEG after cerebral ischemia</w:t>
      </w:r>
    </w:p>
    <w:p w:rsidR="009028BC" w:rsidRDefault="009028BC" w:rsidP="009028BC">
      <w:pPr>
        <w:rPr>
          <w:rFonts w:eastAsia="Calibri"/>
          <w:sz w:val="24"/>
        </w:rPr>
      </w:pPr>
      <w:proofErr w:type="spellStart"/>
      <w:r>
        <w:rPr>
          <w:rFonts w:eastAsia="Calibri"/>
          <w:sz w:val="24"/>
        </w:rPr>
        <w:t>Alexandru</w:t>
      </w:r>
      <w:proofErr w:type="spellEnd"/>
      <w:r>
        <w:rPr>
          <w:rFonts w:eastAsia="Calibri"/>
          <w:sz w:val="24"/>
        </w:rPr>
        <w:t xml:space="preserve"> Stoian</w:t>
      </w:r>
      <w:r>
        <w:rPr>
          <w:rFonts w:eastAsia="Calibri"/>
          <w:sz w:val="24"/>
          <w:vertAlign w:val="superscript"/>
        </w:rPr>
        <w:t>1</w:t>
      </w:r>
      <w:r>
        <w:rPr>
          <w:rFonts w:eastAsia="Calibri"/>
          <w:sz w:val="24"/>
        </w:rPr>
        <w:t xml:space="preserve">, </w:t>
      </w:r>
      <w:proofErr w:type="spellStart"/>
      <w:r>
        <w:rPr>
          <w:rFonts w:eastAsia="Calibri"/>
          <w:sz w:val="24"/>
        </w:rPr>
        <w:t>Bogdan</w:t>
      </w:r>
      <w:proofErr w:type="spellEnd"/>
      <w:r>
        <w:rPr>
          <w:rFonts w:eastAsia="Calibri"/>
          <w:sz w:val="24"/>
        </w:rPr>
        <w:t xml:space="preserve"> David</w:t>
      </w:r>
      <w:r>
        <w:rPr>
          <w:rFonts w:eastAsia="Calibri"/>
          <w:sz w:val="24"/>
          <w:vertAlign w:val="superscript"/>
        </w:rPr>
        <w:t>1</w:t>
      </w:r>
      <w:r>
        <w:rPr>
          <w:rFonts w:eastAsia="Calibri"/>
          <w:sz w:val="24"/>
        </w:rPr>
        <w:t xml:space="preserve">, </w:t>
      </w:r>
      <w:proofErr w:type="spellStart"/>
      <w:r>
        <w:rPr>
          <w:rFonts w:eastAsia="Calibri"/>
          <w:sz w:val="24"/>
        </w:rPr>
        <w:t>Aldebarani</w:t>
      </w:r>
      <w:proofErr w:type="spellEnd"/>
      <w:r>
        <w:rPr>
          <w:rFonts w:eastAsia="Calibri"/>
          <w:sz w:val="24"/>
        </w:rPr>
        <w:t xml:space="preserve"> Gonzalez</w:t>
      </w:r>
      <w:r>
        <w:rPr>
          <w:rFonts w:eastAsia="Calibri"/>
          <w:sz w:val="24"/>
          <w:vertAlign w:val="superscript"/>
        </w:rPr>
        <w:t>1</w:t>
      </w:r>
      <w:r>
        <w:rPr>
          <w:rFonts w:eastAsia="Calibri"/>
          <w:sz w:val="24"/>
        </w:rPr>
        <w:t xml:space="preserve">, </w:t>
      </w:r>
      <w:proofErr w:type="spellStart"/>
      <w:r>
        <w:rPr>
          <w:rFonts w:eastAsia="Calibri"/>
          <w:sz w:val="24"/>
        </w:rPr>
        <w:t>Alexandru</w:t>
      </w:r>
      <w:proofErr w:type="spellEnd"/>
      <w:r>
        <w:rPr>
          <w:rFonts w:eastAsia="Calibri"/>
          <w:sz w:val="24"/>
        </w:rPr>
        <w:t xml:space="preserve"> Calin</w:t>
      </w:r>
      <w:r>
        <w:rPr>
          <w:rFonts w:eastAsia="Calibri"/>
          <w:sz w:val="24"/>
          <w:vertAlign w:val="superscript"/>
        </w:rPr>
        <w:t>1</w:t>
      </w:r>
      <w:r>
        <w:rPr>
          <w:rFonts w:eastAsia="Calibri"/>
          <w:sz w:val="24"/>
        </w:rPr>
        <w:t xml:space="preserve">, </w:t>
      </w:r>
      <w:proofErr w:type="spellStart"/>
      <w:r>
        <w:rPr>
          <w:rFonts w:eastAsia="Calibri"/>
          <w:sz w:val="24"/>
        </w:rPr>
        <w:t>Ovidiu</w:t>
      </w:r>
      <w:proofErr w:type="spellEnd"/>
      <w:r>
        <w:rPr>
          <w:rFonts w:eastAsia="Calibri"/>
          <w:sz w:val="24"/>
        </w:rPr>
        <w:t xml:space="preserve"> Lucian Bajenaru</w:t>
      </w:r>
      <w:r>
        <w:rPr>
          <w:rFonts w:eastAsia="Calibri"/>
          <w:sz w:val="24"/>
          <w:vertAlign w:val="superscript"/>
        </w:rPr>
        <w:t>1</w:t>
      </w:r>
      <w:r>
        <w:rPr>
          <w:rFonts w:eastAsia="Calibri"/>
          <w:sz w:val="24"/>
        </w:rPr>
        <w:t xml:space="preserve">, </w:t>
      </w:r>
      <w:proofErr w:type="spellStart"/>
      <w:r>
        <w:rPr>
          <w:rFonts w:eastAsia="Calibri"/>
          <w:sz w:val="24"/>
        </w:rPr>
        <w:t>Mihaela</w:t>
      </w:r>
      <w:proofErr w:type="spellEnd"/>
      <w:r>
        <w:rPr>
          <w:rFonts w:eastAsia="Calibri"/>
          <w:sz w:val="24"/>
        </w:rPr>
        <w:t xml:space="preserve"> Loghin</w:t>
      </w:r>
      <w:r>
        <w:rPr>
          <w:rFonts w:eastAsia="Calibri"/>
          <w:sz w:val="24"/>
          <w:vertAlign w:val="superscript"/>
        </w:rPr>
        <w:t>1</w:t>
      </w:r>
      <w:r>
        <w:rPr>
          <w:rFonts w:eastAsia="Calibri"/>
          <w:sz w:val="24"/>
        </w:rPr>
        <w:t>, Andrei Ilie</w:t>
      </w:r>
      <w:r>
        <w:rPr>
          <w:rFonts w:eastAsia="Calibri"/>
          <w:sz w:val="24"/>
          <w:vertAlign w:val="superscript"/>
        </w:rPr>
        <w:t>2</w:t>
      </w:r>
      <w:r>
        <w:rPr>
          <w:rFonts w:eastAsia="Calibri"/>
          <w:sz w:val="24"/>
        </w:rPr>
        <w:t>, Ana-Maria Zagrean</w:t>
      </w:r>
      <w:r>
        <w:rPr>
          <w:rFonts w:eastAsia="Calibri"/>
          <w:sz w:val="24"/>
          <w:vertAlign w:val="superscript"/>
        </w:rPr>
        <w:t>1</w:t>
      </w:r>
      <w:r w:rsidRPr="00B8059E">
        <w:rPr>
          <w:rFonts w:eastAsia="Calibri"/>
          <w:sz w:val="24"/>
        </w:rPr>
        <w:t>Leon Zagrean</w:t>
      </w:r>
      <w:r w:rsidRPr="00B8059E">
        <w:rPr>
          <w:rFonts w:eastAsia="Calibri"/>
          <w:sz w:val="24"/>
          <w:vertAlign w:val="superscript"/>
        </w:rPr>
        <w:t>1</w:t>
      </w:r>
      <w:r>
        <w:rPr>
          <w:rFonts w:eastAsia="Calibri"/>
          <w:sz w:val="24"/>
        </w:rPr>
        <w:t xml:space="preserve">, and </w:t>
      </w:r>
      <w:proofErr w:type="spellStart"/>
      <w:r>
        <w:rPr>
          <w:rFonts w:eastAsia="Calibri"/>
          <w:sz w:val="24"/>
        </w:rPr>
        <w:t>Mihai</w:t>
      </w:r>
      <w:proofErr w:type="spellEnd"/>
      <w:r>
        <w:rPr>
          <w:rFonts w:eastAsia="Calibri"/>
          <w:sz w:val="24"/>
        </w:rPr>
        <w:t xml:space="preserve"> Moldovan</w:t>
      </w:r>
      <w:r>
        <w:rPr>
          <w:rFonts w:eastAsia="Calibri"/>
          <w:sz w:val="24"/>
          <w:vertAlign w:val="superscript"/>
        </w:rPr>
        <w:t>1</w:t>
      </w:r>
      <w:proofErr w:type="gramStart"/>
      <w:r>
        <w:rPr>
          <w:rFonts w:eastAsia="Calibri"/>
          <w:sz w:val="24"/>
          <w:vertAlign w:val="superscript"/>
        </w:rPr>
        <w:t>,3</w:t>
      </w:r>
      <w:proofErr w:type="gramEnd"/>
    </w:p>
    <w:p w:rsidR="009028BC" w:rsidRDefault="009028BC" w:rsidP="009028BC">
      <w:pPr>
        <w:rPr>
          <w:rFonts w:eastAsia="Calibri"/>
          <w:sz w:val="24"/>
        </w:rPr>
      </w:pPr>
      <w:r>
        <w:rPr>
          <w:rFonts w:eastAsia="Calibri"/>
          <w:sz w:val="24"/>
        </w:rPr>
        <w:t>1) Department of Physiology, "Carol Davila" University of Medicine and Pharmacy, Bucharest, Romania; 2) Department of Pharmacology, Oxford University, Oxford, United Kingdom; 3) Institute of neuroscience and pharmacology, Faculty of health sciences, University of Copenhagen, Copenhagen, Denmark</w:t>
      </w:r>
    </w:p>
    <w:p w:rsidR="009028BC" w:rsidRPr="00D82D34" w:rsidRDefault="009028BC" w:rsidP="009028BC">
      <w:pPr>
        <w:jc w:val="both"/>
        <w:rPr>
          <w:b/>
        </w:rPr>
      </w:pPr>
    </w:p>
    <w:p w:rsidR="009028BC" w:rsidRPr="00C83C20" w:rsidRDefault="009028BC" w:rsidP="009028BC">
      <w:pPr>
        <w:jc w:val="both"/>
        <w:rPr>
          <w:b/>
        </w:rPr>
      </w:pPr>
      <w:r w:rsidRPr="00C83C20">
        <w:rPr>
          <w:b/>
        </w:rPr>
        <w:t>Introduction</w:t>
      </w:r>
    </w:p>
    <w:p w:rsidR="009028BC" w:rsidRDefault="009028BC" w:rsidP="009028BC">
      <w:pPr>
        <w:jc w:val="both"/>
      </w:pPr>
      <w:r>
        <w:t xml:space="preserve">Following global cerebral ischemia (GCI), spontaneous </w:t>
      </w:r>
      <w:proofErr w:type="spellStart"/>
      <w:r>
        <w:t>electrocortical</w:t>
      </w:r>
      <w:proofErr w:type="spellEnd"/>
      <w:r>
        <w:t xml:space="preserve"> activity resumes from the </w:t>
      </w:r>
      <w:proofErr w:type="spellStart"/>
      <w:r>
        <w:t>isoelectric</w:t>
      </w:r>
      <w:proofErr w:type="spellEnd"/>
      <w:r>
        <w:t xml:space="preserve"> line through a sequence of “bursts” of activity alternating with periods of electrical “suppression”, commonly referred to as the post-ischemic burst-suppression (BS) pattern. BS activity is typically recorded in comatose states, where</w:t>
      </w:r>
      <w:r>
        <w:rPr>
          <w:sz w:val="23"/>
          <w:szCs w:val="23"/>
        </w:rPr>
        <w:t xml:space="preserve"> the</w:t>
      </w:r>
      <w:r>
        <w:rPr>
          <w:rFonts w:eastAsia="Calibri"/>
          <w:sz w:val="24"/>
        </w:rPr>
        <w:t xml:space="preserve"> presence of a reactive BS has a more favorable outcome than a non-reactive BS. </w:t>
      </w:r>
      <w:r>
        <w:t xml:space="preserve">Some controversy exists whether BS patterns that can be modulated by external stimuli - “reactive BS patterns”- are a marker of good prognosis. The aim of </w:t>
      </w:r>
      <w:r w:rsidR="00D73666">
        <w:t>this study was to develop a rat</w:t>
      </w:r>
      <w:r>
        <w:t xml:space="preserve"> experimental model to investigate the post-ischemic BS reactivity following GCI.</w:t>
      </w:r>
    </w:p>
    <w:p w:rsidR="009028BC" w:rsidRPr="00D82D34" w:rsidRDefault="009028BC" w:rsidP="009028BC">
      <w:pPr>
        <w:jc w:val="both"/>
        <w:rPr>
          <w:b/>
        </w:rPr>
      </w:pPr>
      <w:r w:rsidRPr="00D82D34">
        <w:rPr>
          <w:b/>
        </w:rPr>
        <w:t>Materials and methods</w:t>
      </w:r>
    </w:p>
    <w:p w:rsidR="009028BC" w:rsidRDefault="009028BC" w:rsidP="009028BC">
      <w:pPr>
        <w:jc w:val="both"/>
      </w:pPr>
      <w:r>
        <w:t xml:space="preserve">We used adult male </w:t>
      </w:r>
      <w:proofErr w:type="spellStart"/>
      <w:r>
        <w:t>Wistar</w:t>
      </w:r>
      <w:proofErr w:type="spellEnd"/>
      <w:r>
        <w:t xml:space="preserve"> rats (200-300g) with free access to food and water. Transient</w:t>
      </w:r>
      <w:r w:rsidR="003C072F">
        <w:t xml:space="preserve"> </w:t>
      </w:r>
      <w:r>
        <w:t>GCI of 1, 3, and 5 minutes was induced using 4-vessel occlusion technique under chloral hydrate anesthesia.</w:t>
      </w:r>
      <w:r>
        <w:rPr>
          <w:rFonts w:eastAsia="Calibri"/>
          <w:sz w:val="24"/>
        </w:rPr>
        <w:t xml:space="preserve">BS patterns were recorded from occipital cortex by implanted epidural electrodes. Super-bright LED flashes were delivered every 2 seconds to one eye. Given the predominantly crossed visual projection in rats, the </w:t>
      </w:r>
      <w:proofErr w:type="spellStart"/>
      <w:r>
        <w:rPr>
          <w:rFonts w:eastAsia="Calibri"/>
          <w:sz w:val="24"/>
        </w:rPr>
        <w:t>ipsilateral</w:t>
      </w:r>
      <w:proofErr w:type="spellEnd"/>
      <w:r>
        <w:rPr>
          <w:rFonts w:eastAsia="Calibri"/>
          <w:sz w:val="24"/>
        </w:rPr>
        <w:t xml:space="preserve"> occipital recording was uncontaminated by the evoked visual responses and could be used to quantify the BS patterns. The BS ratio (BSR) was calculated as the fraction of time spent in suppression over 30-second epochs.</w:t>
      </w:r>
    </w:p>
    <w:p w:rsidR="009028BC" w:rsidRPr="00C83C20" w:rsidRDefault="009028BC" w:rsidP="009028BC">
      <w:pPr>
        <w:jc w:val="both"/>
        <w:rPr>
          <w:b/>
        </w:rPr>
      </w:pPr>
      <w:r w:rsidRPr="00C83C20">
        <w:rPr>
          <w:b/>
        </w:rPr>
        <w:t>Results</w:t>
      </w:r>
    </w:p>
    <w:p w:rsidR="009028BC" w:rsidRDefault="009028BC" w:rsidP="009028BC">
      <w:pPr>
        <w:jc w:val="both"/>
        <w:rPr>
          <w:b/>
        </w:rPr>
      </w:pPr>
      <w:r>
        <w:rPr>
          <w:rFonts w:eastAsia="Calibri"/>
          <w:sz w:val="24"/>
        </w:rPr>
        <w:t>The post-ischemic BSR recovery had an exponential time-course with a time constant increasing with GCI duration. Stimulation reduced the BS recovery time constant for all GCI durations.</w:t>
      </w:r>
    </w:p>
    <w:p w:rsidR="009028BC" w:rsidRPr="00024E47" w:rsidRDefault="009028BC" w:rsidP="009028BC">
      <w:pPr>
        <w:jc w:val="both"/>
        <w:rPr>
          <w:b/>
        </w:rPr>
      </w:pPr>
      <w:r w:rsidRPr="00024E47">
        <w:rPr>
          <w:b/>
        </w:rPr>
        <w:t>Conclusion</w:t>
      </w:r>
      <w:bookmarkStart w:id="0" w:name="_GoBack"/>
      <w:bookmarkEnd w:id="0"/>
    </w:p>
    <w:p w:rsidR="009028BC" w:rsidRDefault="009028BC" w:rsidP="009028BC">
      <w:pPr>
        <w:jc w:val="both"/>
      </w:pPr>
      <w:r>
        <w:lastRenderedPageBreak/>
        <w:t>Our preliminary data suggest that BS reactivity is preserved when GCI was not associated with cortical ischemic damage. Our model proves to be a valuable tool to investigate</w:t>
      </w:r>
      <w:r w:rsidR="0035184F">
        <w:t xml:space="preserve"> </w:t>
      </w:r>
      <w:r>
        <w:t>the outcome-predictive power of BS reactivity for cerebral ischemic injury.</w:t>
      </w:r>
    </w:p>
    <w:p w:rsidR="000A6F3B" w:rsidRDefault="000A6F3B"/>
    <w:sectPr w:rsidR="000A6F3B" w:rsidSect="009A09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savePreviewPicture/>
  <w:compat>
    <w:useFELayout/>
  </w:compat>
  <w:rsids>
    <w:rsidRoot w:val="009028BC"/>
    <w:rsid w:val="000A6F3B"/>
    <w:rsid w:val="0035184F"/>
    <w:rsid w:val="003C072F"/>
    <w:rsid w:val="008160D6"/>
    <w:rsid w:val="009028BC"/>
    <w:rsid w:val="00A81BBF"/>
    <w:rsid w:val="00D736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0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Dr-Stoian</dc:creator>
  <cp:keywords/>
  <dc:description/>
  <cp:lastModifiedBy>Dr-Stoian</cp:lastModifiedBy>
  <cp:revision>6</cp:revision>
  <dcterms:created xsi:type="dcterms:W3CDTF">2012-03-04T21:51:00Z</dcterms:created>
  <dcterms:modified xsi:type="dcterms:W3CDTF">2012-03-07T21:03:00Z</dcterms:modified>
</cp:coreProperties>
</file>